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7EF6">
      <w:pPr>
        <w:jc w:val="center"/>
        <w:rPr>
          <w:rFonts w:hint="default" w:ascii="Century Gothic" w:hAnsi="Century Gothic"/>
          <w:sz w:val="26"/>
          <w:szCs w:val="26"/>
          <w:lang w:val="es-ES"/>
        </w:rPr>
      </w:pPr>
      <w:bookmarkStart w:id="0" w:name="_GoBack"/>
      <w:r>
        <w:rPr>
          <w:rFonts w:hint="default" w:ascii="Century Gothic" w:hAnsi="Century Gothic"/>
          <w:b/>
          <w:sz w:val="34"/>
          <w:szCs w:val="34"/>
          <w:lang w:val="es-ES"/>
        </w:rPr>
        <w:t>RECONOCEN EL DERECHO DE UN GUARDIA CIVIL EN LA RESERVA AL INCREMENTO SALARIAL APLICADO A TODO EL CUERPO DESDE 2018</w:t>
      </w:r>
    </w:p>
    <w:p w14:paraId="6D98985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420" w:leftChars="0" w:hanging="420" w:firstLineChars="0"/>
        <w:jc w:val="both"/>
        <w:textAlignment w:val="auto"/>
        <w:rPr>
          <w:rFonts w:hint="default" w:ascii="Century Gothic" w:hAnsi="Century Gothic" w:cs="Century Gothic"/>
          <w:color w:val="auto"/>
          <w:sz w:val="28"/>
          <w:szCs w:val="28"/>
        </w:rPr>
      </w:pPr>
      <w:r>
        <w:rPr>
          <w:rFonts w:hint="default" w:ascii="Century Gothic" w:hAnsi="Century Gothic" w:cs="Century Gothic"/>
          <w:b w:val="0"/>
          <w:bCs w:val="0"/>
          <w:color w:val="auto"/>
          <w:sz w:val="28"/>
          <w:szCs w:val="28"/>
          <w:lang w:val="es-ES"/>
        </w:rPr>
        <w:t xml:space="preserve">Por el acuerdo </w:t>
      </w:r>
      <w:r>
        <w:rPr>
          <w:rFonts w:hint="default" w:ascii="Century Gothic" w:hAnsi="Century Gothic" w:eastAsia="SimSun" w:cs="Century Gothic"/>
          <w:color w:val="auto"/>
          <w:sz w:val="28"/>
          <w:szCs w:val="28"/>
          <w:lang w:val="es-ES"/>
        </w:rPr>
        <w:t>d</w:t>
      </w:r>
      <w:r>
        <w:rPr>
          <w:rFonts w:hint="default" w:ascii="Century Gothic" w:hAnsi="Century Gothic" w:eastAsia="SimSun" w:cs="Century Gothic"/>
          <w:color w:val="auto"/>
          <w:sz w:val="28"/>
          <w:szCs w:val="28"/>
        </w:rPr>
        <w:t xml:space="preserve">el 12 de marzo de 2018 </w:t>
      </w:r>
      <w:r>
        <w:rPr>
          <w:rFonts w:hint="default" w:ascii="Century Gothic" w:hAnsi="Century Gothic" w:eastAsia="SimSun" w:cs="Century Gothic"/>
          <w:b/>
          <w:bCs/>
          <w:color w:val="auto"/>
          <w:sz w:val="28"/>
          <w:szCs w:val="28"/>
        </w:rPr>
        <w:t xml:space="preserve">entre el Ministerio del Interior </w:t>
      </w:r>
      <w:r>
        <w:rPr>
          <w:rFonts w:hint="default" w:ascii="Century Gothic" w:hAnsi="Century Gothic" w:eastAsia="SimSun" w:cs="Century Gothic"/>
          <w:color w:val="auto"/>
          <w:sz w:val="28"/>
          <w:szCs w:val="28"/>
        </w:rPr>
        <w:t>y los representantes de las asociaciones profesionales de la Guardia Civil y sindicatos de Policía Nacional</w:t>
      </w:r>
    </w:p>
    <w:p w14:paraId="700F46D3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420" w:leftChars="0" w:hanging="420" w:firstLineChars="0"/>
        <w:jc w:val="both"/>
        <w:textAlignment w:val="auto"/>
        <w:rPr>
          <w:rFonts w:hint="default" w:ascii="Century Gothic" w:hAnsi="Century Gothic" w:cs="Century Gothic"/>
          <w:color w:val="auto"/>
          <w:sz w:val="28"/>
          <w:szCs w:val="28"/>
        </w:rPr>
      </w:pPr>
      <w:r>
        <w:rPr>
          <w:rFonts w:hint="default" w:ascii="Century Gothic" w:hAnsi="Century Gothic" w:cs="Century Gothic"/>
          <w:b/>
          <w:bCs/>
          <w:color w:val="auto"/>
          <w:sz w:val="28"/>
          <w:szCs w:val="28"/>
        </w:rPr>
        <w:t>Parrado Asesores Abogados</w:t>
      </w:r>
      <w:r>
        <w:rPr>
          <w:rFonts w:hint="default" w:ascii="Century Gothic" w:hAnsi="Century Gothic" w:cs="Century Gothic"/>
          <w:color w:val="auto"/>
          <w:sz w:val="28"/>
          <w:szCs w:val="28"/>
        </w:rPr>
        <w:t xml:space="preserve"> logr</w:t>
      </w:r>
      <w:r>
        <w:rPr>
          <w:rFonts w:hint="default" w:ascii="Century Gothic" w:hAnsi="Century Gothic" w:cs="Century Gothic"/>
          <w:color w:val="auto"/>
          <w:sz w:val="28"/>
          <w:szCs w:val="28"/>
          <w:lang w:val="es-ES"/>
        </w:rPr>
        <w:t>a demostrar que el demandante, además de ser tratado como el resto de guardias, había sido designado al puesto y destino que ostenta</w:t>
      </w:r>
    </w:p>
    <w:p w14:paraId="151CF33B">
      <w:pPr>
        <w:pStyle w:val="22"/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420" w:leftChars="0" w:hanging="420" w:firstLineChars="0"/>
        <w:jc w:val="both"/>
        <w:textAlignment w:val="auto"/>
        <w:rPr>
          <w:rFonts w:ascii="Century Gothic" w:hAnsi="Century Gothic"/>
          <w:sz w:val="26"/>
          <w:szCs w:val="26"/>
        </w:rPr>
      </w:pPr>
      <w:r>
        <w:rPr>
          <w:rFonts w:hint="default" w:ascii="Century Gothic" w:hAnsi="Century Gothic" w:cs="Century Gothic"/>
          <w:b/>
          <w:bCs/>
          <w:color w:val="auto"/>
          <w:sz w:val="28"/>
          <w:szCs w:val="28"/>
          <w:lang w:val="es-ES"/>
        </w:rPr>
        <w:t xml:space="preserve">El implicado, destinado en Ceuta, verá incrementada su nómina </w:t>
      </w:r>
      <w:r>
        <w:rPr>
          <w:rFonts w:hint="default" w:ascii="Century Gothic" w:hAnsi="Century Gothic" w:cs="Century Gothic"/>
          <w:b w:val="0"/>
          <w:bCs w:val="0"/>
          <w:color w:val="auto"/>
          <w:sz w:val="28"/>
          <w:szCs w:val="28"/>
          <w:lang w:val="es-ES"/>
        </w:rPr>
        <w:t>en sus complementos específicos en tres ejercicios (2018, 2019 y 2020)</w:t>
      </w:r>
    </w:p>
    <w:p w14:paraId="12ABEB8A">
      <w:pPr>
        <w:spacing w:after="0"/>
        <w:jc w:val="both"/>
        <w:rPr>
          <w:rFonts w:ascii="Century Gothic" w:hAnsi="Century Gothic" w:cs="Century Gothic"/>
          <w:b/>
          <w:sz w:val="24"/>
          <w:szCs w:val="24"/>
        </w:rPr>
      </w:pPr>
    </w:p>
    <w:p w14:paraId="58FCB15A">
      <w:pPr>
        <w:spacing w:after="0"/>
        <w:jc w:val="both"/>
        <w:rPr>
          <w:rFonts w:ascii="Century Gothic" w:hAnsi="Century Gothic" w:cs="Century Gothic"/>
          <w:b/>
          <w:sz w:val="24"/>
          <w:szCs w:val="24"/>
        </w:rPr>
      </w:pPr>
    </w:p>
    <w:p w14:paraId="10F47C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Century Gothic" w:hAnsi="Century Gothic" w:cs="Century Gothic"/>
          <w:b w:val="0"/>
          <w:bCs/>
          <w:color w:val="auto"/>
          <w:sz w:val="24"/>
          <w:szCs w:val="24"/>
          <w:lang w:val="es-ES"/>
        </w:rPr>
      </w:pPr>
      <w:r>
        <w:rPr>
          <w:rFonts w:hint="default" w:ascii="Century Gothic" w:hAnsi="Century Gothic" w:cs="Century Gothic"/>
          <w:b/>
          <w:bCs w:val="0"/>
          <w:color w:val="auto"/>
          <w:sz w:val="24"/>
          <w:szCs w:val="24"/>
        </w:rPr>
        <w:t>Parrado Asesores Abogado</w:t>
      </w:r>
      <w:r>
        <w:rPr>
          <w:rFonts w:hint="default" w:ascii="Century Gothic" w:hAnsi="Century Gothic" w:cs="Century Gothic"/>
          <w:b/>
          <w:bCs w:val="0"/>
          <w:color w:val="auto"/>
          <w:sz w:val="24"/>
          <w:szCs w:val="24"/>
          <w:lang w:val="es-ES"/>
        </w:rPr>
        <w:t xml:space="preserve">s y la Asociación Española de Guardias Civiles </w:t>
      </w:r>
      <w:r>
        <w:rPr>
          <w:rFonts w:hint="default" w:ascii="Century Gothic" w:hAnsi="Century Gothic" w:cs="Century Gothic"/>
          <w:b w:val="0"/>
          <w:bCs/>
          <w:color w:val="auto"/>
          <w:sz w:val="24"/>
          <w:szCs w:val="24"/>
          <w:lang w:val="es-ES"/>
        </w:rPr>
        <w:t xml:space="preserve">han vuelto a lograr una sentencia importante que refuerza el principio de Igualdad y el cumplimiento de acuerdos para todos y cada uno de los integrantes de la Guardia Civil. </w:t>
      </w:r>
    </w:p>
    <w:p w14:paraId="2B5223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 w:firstLine="708" w:firstLineChars="0"/>
        <w:jc w:val="both"/>
        <w:textAlignment w:val="auto"/>
        <w:rPr>
          <w:rFonts w:hint="default" w:ascii="Century Gothic" w:hAnsi="Century Gothic" w:cs="Century Gothic"/>
          <w:color w:val="auto"/>
          <w:sz w:val="24"/>
          <w:szCs w:val="24"/>
        </w:rPr>
      </w:pPr>
      <w:r>
        <w:rPr>
          <w:rFonts w:hint="default" w:ascii="Century Gothic" w:hAnsi="Century Gothic" w:cs="Century Gothic"/>
          <w:b/>
          <w:bCs w:val="0"/>
          <w:color w:val="auto"/>
          <w:sz w:val="24"/>
          <w:szCs w:val="24"/>
          <w:lang w:val="es-ES"/>
        </w:rPr>
        <w:t xml:space="preserve">Un guardia civil en la reserva, </w:t>
      </w:r>
      <w:r>
        <w:rPr>
          <w:rFonts w:hint="default" w:ascii="Century Gothic" w:hAnsi="Century Gothic" w:cs="Century Gothic"/>
          <w:b w:val="0"/>
          <w:bCs/>
          <w:color w:val="auto"/>
          <w:sz w:val="24"/>
          <w:szCs w:val="24"/>
          <w:lang w:val="es-ES"/>
        </w:rPr>
        <w:t>destinado en la Subsecretaría de Defensa en Ceuta,</w:t>
      </w:r>
      <w:r>
        <w:rPr>
          <w:rFonts w:hint="default" w:ascii="Century Gothic" w:hAnsi="Century Gothic" w:cs="Century Gothic"/>
          <w:b/>
          <w:bCs w:val="0"/>
          <w:color w:val="auto"/>
          <w:sz w:val="24"/>
          <w:szCs w:val="24"/>
          <w:lang w:val="es-ES"/>
        </w:rPr>
        <w:t xml:space="preserve"> podrá beneficiarse de los aumentos de retribución en sus complementos específicos, que se preveían en los acuerdos 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  <w:t>d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</w:rPr>
        <w:t>el 12 de marzo de 2018 entre el Ministerio del Interior y los representantes de las asociaciones profesionales de la Guardia Civil y sindicatos de Policía Nacional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  <w:t>.</w:t>
      </w:r>
    </w:p>
    <w:p w14:paraId="43A8B3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708" w:firstLineChars="0"/>
        <w:jc w:val="both"/>
        <w:textAlignment w:val="auto"/>
        <w:rPr>
          <w:rFonts w:hint="default" w:ascii="Century Gothic" w:hAnsi="Century Gothic" w:cs="Century Gothic"/>
          <w:color w:val="auto"/>
          <w:sz w:val="24"/>
          <w:szCs w:val="24"/>
          <w:lang w:val="es-ES"/>
        </w:rPr>
      </w:pPr>
      <w:r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  <w:t xml:space="preserve">La dirección general de la Guardia Civil </w:t>
      </w:r>
      <w:r>
        <w:rPr>
          <w:rFonts w:hint="default" w:ascii="Century Gothic" w:hAnsi="Century Gothic" w:eastAsia="SimSun" w:cs="Century Gothic"/>
          <w:b/>
          <w:bCs/>
          <w:color w:val="auto"/>
          <w:sz w:val="24"/>
          <w:szCs w:val="24"/>
          <w:lang w:val="es-ES"/>
        </w:rPr>
        <w:t xml:space="preserve">denegó esta petición 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  <w:t>en vía administrativa, argumentando que “</w:t>
      </w:r>
      <w:r>
        <w:rPr>
          <w:rFonts w:hint="default" w:ascii="Century Gothic" w:hAnsi="Century Gothic" w:eastAsia="SimSun" w:cs="Century Gothic"/>
          <w:b/>
          <w:bCs/>
          <w:i/>
          <w:iCs/>
          <w:color w:val="auto"/>
          <w:sz w:val="24"/>
          <w:szCs w:val="24"/>
          <w:lang w:val="es-ES"/>
        </w:rPr>
        <w:t xml:space="preserve">ya se percibían en </w:t>
      </w:r>
      <w:r>
        <w:rPr>
          <w:rFonts w:hint="default" w:ascii="Century Gothic" w:hAnsi="Century Gothic" w:eastAsia="SimSun" w:cs="Century Gothic"/>
          <w:b/>
          <w:bCs/>
          <w:i/>
          <w:iCs/>
          <w:color w:val="auto"/>
          <w:sz w:val="24"/>
          <w:szCs w:val="24"/>
        </w:rPr>
        <w:t xml:space="preserve">sus nóminas el componente singular del complemento específico de un Guardia Civil 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</w:rPr>
        <w:t>en la reserva sin destino y las cantidades que correspondían por la prestación de servicios en organismo ajeno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  <w:lang w:val="es-ES"/>
        </w:rPr>
        <w:t xml:space="preserve">. No siendo el puesto 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</w:rPr>
        <w:t xml:space="preserve">en propiedad, 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  <w:lang w:val="es-ES"/>
        </w:rPr>
        <w:t xml:space="preserve">ni 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</w:rPr>
        <w:t>equiparables las funciones de un Guardia Civil en la reserva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  <w:t>”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</w:rPr>
        <w:t xml:space="preserve">. </w:t>
      </w:r>
    </w:p>
    <w:p w14:paraId="0B9D2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708" w:firstLineChars="0"/>
        <w:jc w:val="both"/>
        <w:textAlignment w:val="auto"/>
        <w:rPr>
          <w:rFonts w:hint="default" w:ascii="Century Gothic" w:hAnsi="Century Gothic" w:eastAsia="SimSun" w:cs="Century Gothic"/>
          <w:color w:val="auto"/>
          <w:sz w:val="24"/>
          <w:szCs w:val="24"/>
        </w:rPr>
      </w:pPr>
      <w:r>
        <w:rPr>
          <w:rFonts w:hint="default" w:ascii="Century Gothic" w:hAnsi="Century Gothic" w:cs="Century Gothic"/>
          <w:b/>
          <w:bCs w:val="0"/>
          <w:color w:val="auto"/>
          <w:sz w:val="24"/>
          <w:szCs w:val="24"/>
          <w:lang w:val="es-ES"/>
        </w:rPr>
        <w:t xml:space="preserve">Los profesionales jurídicos de Parrado Asesores y la AEGC expusieron ante el Juzgado Central Contencioso Administrativo de Madrid </w:t>
      </w:r>
      <w:r>
        <w:rPr>
          <w:rFonts w:hint="default" w:ascii="Century Gothic" w:hAnsi="Century Gothic" w:cs="Century Gothic"/>
          <w:b w:val="0"/>
          <w:bCs/>
          <w:color w:val="auto"/>
          <w:sz w:val="24"/>
          <w:szCs w:val="24"/>
          <w:lang w:val="es-ES"/>
        </w:rPr>
        <w:t xml:space="preserve">que </w:t>
      </w:r>
      <w:r>
        <w:rPr>
          <w:rFonts w:hint="default" w:ascii="Century Gothic" w:hAnsi="Century Gothic" w:cs="Century Gothic"/>
          <w:b w:val="0"/>
          <w:bCs/>
          <w:color w:val="auto"/>
          <w:sz w:val="24"/>
          <w:szCs w:val="24"/>
          <w:lang w:val="es-ES"/>
        </w:rPr>
        <w:t>l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</w:rPr>
        <w:t>os guardias civiles en situación de reserva podrán ocupar los destinos que se determinen por el Ministro del Interior para el personal que se encuentre en la citada situación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  <w:t xml:space="preserve">, y que estas designaciones de puestos se pueden hacer de forma libre o por concurso-oposición, </w:t>
      </w:r>
      <w:r>
        <w:rPr>
          <w:rFonts w:hint="default" w:ascii="Century Gothic" w:hAnsi="Century Gothic" w:eastAsia="SimSun" w:cs="Century Gothic"/>
          <w:b/>
          <w:bCs/>
          <w:color w:val="auto"/>
          <w:sz w:val="24"/>
          <w:szCs w:val="24"/>
          <w:lang w:val="es-ES"/>
        </w:rPr>
        <w:t>siendo todo el proceso competencia de la dirección general de la Guardia Civil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  <w:t>. La legislación establece también que la situación de reserva no supone una actividad pasiva o de disponibilidad no recurrente, sino que “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</w:rPr>
        <w:t xml:space="preserve">el desempeño de los puestos de trabajo asignados al personal en situación de reserva se ejercerán </w:t>
      </w:r>
      <w:r>
        <w:rPr>
          <w:rFonts w:hint="default" w:ascii="Century Gothic" w:hAnsi="Century Gothic" w:eastAsia="SimSun" w:cs="Century Gothic"/>
          <w:b/>
          <w:bCs/>
          <w:i/>
          <w:iCs/>
          <w:color w:val="auto"/>
          <w:sz w:val="24"/>
          <w:szCs w:val="24"/>
        </w:rPr>
        <w:t>la autoridad y funciones correspondientes al empleo que se ostente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</w:rPr>
        <w:t>. Las funciones propias de estos destinos serán, con carácter general, las de apoyo y asesoramiento al mando, de enseñanza,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  <w:lang w:val="es-ES"/>
        </w:rPr>
        <w:t xml:space="preserve"> 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</w:rPr>
        <w:t>logísticas y técnico-facultativas, sin perjuicio de las funciones asignadas a los puestos de trabajo que sean consecuencia de la suscripción de convenios u otros instrumentos de colaboración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  <w:t>”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</w:rPr>
        <w:t>.</w:t>
      </w:r>
    </w:p>
    <w:p w14:paraId="0F5576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</w:pPr>
    </w:p>
    <w:p w14:paraId="255BF1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</w:pPr>
      <w:r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  <w:t>Todos los argumentos y las legislaciones expuestas en el juicio fueron refrendadas por la sentencia, que fue clara al dictaminar que “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  <w:lang w:val="es-ES"/>
        </w:rPr>
        <w:t>e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</w:rPr>
        <w:t xml:space="preserve">sos puestos de trabajo </w:t>
      </w:r>
      <w:r>
        <w:rPr>
          <w:rFonts w:hint="default" w:ascii="Century Gothic" w:hAnsi="Century Gothic" w:eastAsia="SimSun" w:cs="Century Gothic"/>
          <w:b/>
          <w:bCs/>
          <w:i/>
          <w:iCs/>
          <w:color w:val="auto"/>
          <w:sz w:val="24"/>
          <w:szCs w:val="24"/>
        </w:rPr>
        <w:t>les fueron asignados por resoluciones de la propia Dirección General de la Guardia Civil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</w:rPr>
        <w:t>, habiendo sido publicadas las convocatorias y las asignaciones de destino en el Boletín Oficial de la Guardia Civi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  <w:lang w:val="es-ES"/>
        </w:rPr>
        <w:t xml:space="preserve">l (...) 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</w:rPr>
        <w:t>Se trata, por tanto, de puestos que se encontraban en al ámbito de la Administración convocante -Dirección General de la Guardia Civil- y a los que, evidentemente, podían optar para obtener destino en esa situación de reserva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  <w:lang w:val="es-ES"/>
        </w:rPr>
        <w:t>”</w:t>
      </w:r>
      <w:r>
        <w:rPr>
          <w:rFonts w:hint="default" w:ascii="Century Gothic" w:hAnsi="Century Gothic" w:eastAsia="SimSun" w:cs="Century Gothic"/>
          <w:color w:val="auto"/>
          <w:sz w:val="24"/>
          <w:szCs w:val="24"/>
        </w:rPr>
        <w:t>.</w:t>
      </w:r>
    </w:p>
    <w:p w14:paraId="382882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708" w:firstLineChars="0"/>
        <w:jc w:val="both"/>
        <w:textAlignment w:val="auto"/>
        <w:rPr>
          <w:rFonts w:hint="default" w:ascii="SimSun" w:hAnsi="SimSun" w:eastAsia="SimSun" w:cs="SimSun"/>
          <w:i/>
          <w:iCs/>
          <w:sz w:val="24"/>
          <w:szCs w:val="24"/>
          <w:lang w:val="es-ES"/>
        </w:rPr>
      </w:pPr>
      <w:r>
        <w:rPr>
          <w:rFonts w:hint="default" w:ascii="Century Gothic" w:hAnsi="Century Gothic" w:eastAsia="SimSun" w:cs="Century Gothic"/>
          <w:color w:val="auto"/>
          <w:sz w:val="24"/>
          <w:szCs w:val="24"/>
          <w:lang w:val="es-ES"/>
        </w:rPr>
        <w:t>Por tanto a este tipo de puestos, designaciones y funciones en la Reserva “</w:t>
      </w:r>
      <w:r>
        <w:rPr>
          <w:rFonts w:hint="default" w:ascii="Century Gothic" w:hAnsi="Century Gothic" w:eastAsia="SimSun" w:cs="Century Gothic"/>
          <w:b/>
          <w:bCs/>
          <w:i/>
          <w:iCs/>
          <w:color w:val="auto"/>
          <w:sz w:val="24"/>
          <w:szCs w:val="24"/>
          <w:lang w:val="es-ES"/>
        </w:rPr>
        <w:t xml:space="preserve">se </w:t>
      </w:r>
      <w:r>
        <w:rPr>
          <w:rFonts w:hint="default" w:ascii="Century Gothic" w:hAnsi="Century Gothic" w:eastAsia="SimSun" w:cs="Century Gothic"/>
          <w:b/>
          <w:bCs/>
          <w:i/>
          <w:iCs/>
          <w:color w:val="auto"/>
          <w:sz w:val="24"/>
          <w:szCs w:val="24"/>
        </w:rPr>
        <w:t xml:space="preserve">contemplan expresamente la aplicación del Acuerdo de 12 de marzo de 2018 al personal de la Guardia Civil 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</w:rPr>
        <w:t>y de la Policía Nacional que desempeñen puestos de personal funcionario de los departamentos ministeriales, organismos públicos y agencias estatales</w:t>
      </w:r>
      <w:r>
        <w:rPr>
          <w:rFonts w:hint="default" w:ascii="Century Gothic" w:hAnsi="Century Gothic" w:eastAsia="SimSun" w:cs="Century Gothic"/>
          <w:i w:val="0"/>
          <w:iCs w:val="0"/>
          <w:color w:val="auto"/>
          <w:sz w:val="24"/>
          <w:szCs w:val="24"/>
          <w:lang w:val="es-ES"/>
        </w:rPr>
        <w:t>” Y por tanto los incrementos salariales previstos en dicho acuerdo</w:t>
      </w:r>
      <w:r>
        <w:rPr>
          <w:rFonts w:hint="default" w:ascii="Century Gothic" w:hAnsi="Century Gothic" w:eastAsia="SimSun" w:cs="Century Gothic"/>
          <w:i/>
          <w:iCs/>
          <w:color w:val="auto"/>
          <w:sz w:val="24"/>
          <w:szCs w:val="24"/>
          <w:lang w:val="es-ES"/>
        </w:rPr>
        <w:t>.</w:t>
      </w:r>
    </w:p>
    <w:bookmarkEnd w:id="0"/>
    <w:sectPr>
      <w:headerReference r:id="rId5" w:type="default"/>
      <w:footerReference r:id="rId6" w:type="default"/>
      <w:pgSz w:w="11906" w:h="16838"/>
      <w:pgMar w:top="1417" w:right="1701" w:bottom="1417" w:left="1701" w:header="142" w:footer="720" w:gutter="0"/>
      <w:cols w:space="720" w:num="1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Devanagari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Noto Sans SC Regular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203BB">
    <w:pPr>
      <w:pStyle w:val="14"/>
      <w:jc w:val="center"/>
      <w:rPr>
        <w:b/>
      </w:rPr>
    </w:pPr>
    <w:r>
      <w:rPr>
        <w:b/>
      </w:rPr>
      <w:t>Comunicación Parrado Asesores - 650 86 40 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8AE4">
    <w:pPr>
      <w:pStyle w:val="10"/>
      <w:jc w:val="center"/>
    </w:pPr>
    <w:r>
      <w:drawing>
        <wp:inline distT="0" distB="0" distL="114300" distR="114300">
          <wp:extent cx="2531110" cy="1012190"/>
          <wp:effectExtent l="0" t="0" r="2540" b="0"/>
          <wp:docPr id="1" name="Imagen 1" descr="Prueba-5--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rueba-5--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1110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E6DA0"/>
    <w:multiLevelType w:val="multilevel"/>
    <w:tmpl w:val="963E6DA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01"/>
    <w:rsid w:val="00012035"/>
    <w:rsid w:val="000359C0"/>
    <w:rsid w:val="000656FE"/>
    <w:rsid w:val="00070AF7"/>
    <w:rsid w:val="000824F0"/>
    <w:rsid w:val="00086655"/>
    <w:rsid w:val="00086C4D"/>
    <w:rsid w:val="00096AB0"/>
    <w:rsid w:val="000A05A6"/>
    <w:rsid w:val="000A0CCD"/>
    <w:rsid w:val="000A6D38"/>
    <w:rsid w:val="000C0161"/>
    <w:rsid w:val="000C4966"/>
    <w:rsid w:val="000D0263"/>
    <w:rsid w:val="00105DA0"/>
    <w:rsid w:val="00111188"/>
    <w:rsid w:val="001276FC"/>
    <w:rsid w:val="00137302"/>
    <w:rsid w:val="001B1D67"/>
    <w:rsid w:val="001D1ABF"/>
    <w:rsid w:val="001F15C5"/>
    <w:rsid w:val="002103F4"/>
    <w:rsid w:val="00211237"/>
    <w:rsid w:val="00246DC6"/>
    <w:rsid w:val="00275D6D"/>
    <w:rsid w:val="00277726"/>
    <w:rsid w:val="002B7664"/>
    <w:rsid w:val="002C3C7E"/>
    <w:rsid w:val="002D2405"/>
    <w:rsid w:val="002E18D6"/>
    <w:rsid w:val="002E7362"/>
    <w:rsid w:val="0030289F"/>
    <w:rsid w:val="00316FF4"/>
    <w:rsid w:val="00336C46"/>
    <w:rsid w:val="00342473"/>
    <w:rsid w:val="00352AB3"/>
    <w:rsid w:val="00357297"/>
    <w:rsid w:val="003739B3"/>
    <w:rsid w:val="0037457C"/>
    <w:rsid w:val="00397A23"/>
    <w:rsid w:val="003E43BD"/>
    <w:rsid w:val="00424B97"/>
    <w:rsid w:val="00443184"/>
    <w:rsid w:val="00450AC2"/>
    <w:rsid w:val="0045486E"/>
    <w:rsid w:val="0046625E"/>
    <w:rsid w:val="004B4A44"/>
    <w:rsid w:val="004F7FB4"/>
    <w:rsid w:val="005008A9"/>
    <w:rsid w:val="00502211"/>
    <w:rsid w:val="0051069A"/>
    <w:rsid w:val="00530E21"/>
    <w:rsid w:val="00542BF5"/>
    <w:rsid w:val="005A19D4"/>
    <w:rsid w:val="005A7B93"/>
    <w:rsid w:val="005E07FC"/>
    <w:rsid w:val="005E5F6A"/>
    <w:rsid w:val="006407D0"/>
    <w:rsid w:val="006A5EA0"/>
    <w:rsid w:val="006E0FCF"/>
    <w:rsid w:val="006E496B"/>
    <w:rsid w:val="006F2BE8"/>
    <w:rsid w:val="00714790"/>
    <w:rsid w:val="00775142"/>
    <w:rsid w:val="0078545F"/>
    <w:rsid w:val="007922AE"/>
    <w:rsid w:val="007A1A6C"/>
    <w:rsid w:val="007B4A6B"/>
    <w:rsid w:val="00802DE5"/>
    <w:rsid w:val="00832DAD"/>
    <w:rsid w:val="0085307A"/>
    <w:rsid w:val="008B2BAD"/>
    <w:rsid w:val="008B5C00"/>
    <w:rsid w:val="008C4DAF"/>
    <w:rsid w:val="009A43B5"/>
    <w:rsid w:val="009C25D8"/>
    <w:rsid w:val="009E0141"/>
    <w:rsid w:val="009F06D7"/>
    <w:rsid w:val="00A22BE4"/>
    <w:rsid w:val="00A25954"/>
    <w:rsid w:val="00A3672D"/>
    <w:rsid w:val="00A3737A"/>
    <w:rsid w:val="00A50DC9"/>
    <w:rsid w:val="00A52CB7"/>
    <w:rsid w:val="00A55B9A"/>
    <w:rsid w:val="00A70CD1"/>
    <w:rsid w:val="00A87DC2"/>
    <w:rsid w:val="00AB3B5F"/>
    <w:rsid w:val="00AB54D0"/>
    <w:rsid w:val="00AD752E"/>
    <w:rsid w:val="00AF5EBE"/>
    <w:rsid w:val="00B12ABD"/>
    <w:rsid w:val="00B2350A"/>
    <w:rsid w:val="00B44E0C"/>
    <w:rsid w:val="00BB2201"/>
    <w:rsid w:val="00BB2680"/>
    <w:rsid w:val="00BC6F76"/>
    <w:rsid w:val="00BF18C4"/>
    <w:rsid w:val="00C005E1"/>
    <w:rsid w:val="00C37CAE"/>
    <w:rsid w:val="00C76931"/>
    <w:rsid w:val="00C93581"/>
    <w:rsid w:val="00CC4591"/>
    <w:rsid w:val="00D22D59"/>
    <w:rsid w:val="00D37668"/>
    <w:rsid w:val="00D66444"/>
    <w:rsid w:val="00D67CFC"/>
    <w:rsid w:val="00D77CA8"/>
    <w:rsid w:val="00D90F1D"/>
    <w:rsid w:val="00DB7F87"/>
    <w:rsid w:val="00DC65DA"/>
    <w:rsid w:val="00DF26F3"/>
    <w:rsid w:val="00DF2801"/>
    <w:rsid w:val="00E31579"/>
    <w:rsid w:val="00E35AC9"/>
    <w:rsid w:val="00E363C8"/>
    <w:rsid w:val="00E63D0E"/>
    <w:rsid w:val="00E82A13"/>
    <w:rsid w:val="00E92C6A"/>
    <w:rsid w:val="00EC5E75"/>
    <w:rsid w:val="00ED68BF"/>
    <w:rsid w:val="00EE63E1"/>
    <w:rsid w:val="00F17E5D"/>
    <w:rsid w:val="00F31E33"/>
    <w:rsid w:val="00F4029D"/>
    <w:rsid w:val="00F538E7"/>
    <w:rsid w:val="00FD54C9"/>
    <w:rsid w:val="00FF6A5B"/>
    <w:rsid w:val="01BE4CE7"/>
    <w:rsid w:val="022E5E86"/>
    <w:rsid w:val="0241100C"/>
    <w:rsid w:val="039A3004"/>
    <w:rsid w:val="042033D6"/>
    <w:rsid w:val="045B7042"/>
    <w:rsid w:val="05942E22"/>
    <w:rsid w:val="065232EA"/>
    <w:rsid w:val="087E1C1F"/>
    <w:rsid w:val="092828AE"/>
    <w:rsid w:val="09502544"/>
    <w:rsid w:val="0986018B"/>
    <w:rsid w:val="0BBD1B53"/>
    <w:rsid w:val="0BE17071"/>
    <w:rsid w:val="0D282489"/>
    <w:rsid w:val="0E5C231B"/>
    <w:rsid w:val="0E814859"/>
    <w:rsid w:val="0ECB6595"/>
    <w:rsid w:val="0F046C72"/>
    <w:rsid w:val="0F786E83"/>
    <w:rsid w:val="12D26BB9"/>
    <w:rsid w:val="13126445"/>
    <w:rsid w:val="13936677"/>
    <w:rsid w:val="150B7023"/>
    <w:rsid w:val="152C7C18"/>
    <w:rsid w:val="154D6BCD"/>
    <w:rsid w:val="15F40466"/>
    <w:rsid w:val="16060D47"/>
    <w:rsid w:val="16CB14F6"/>
    <w:rsid w:val="16D52084"/>
    <w:rsid w:val="17AE4EA5"/>
    <w:rsid w:val="193D4754"/>
    <w:rsid w:val="1BCE322D"/>
    <w:rsid w:val="1BD45E33"/>
    <w:rsid w:val="1C333AEC"/>
    <w:rsid w:val="1DC24BE0"/>
    <w:rsid w:val="1DCB10BD"/>
    <w:rsid w:val="1F591722"/>
    <w:rsid w:val="20711395"/>
    <w:rsid w:val="20733ECA"/>
    <w:rsid w:val="222C4894"/>
    <w:rsid w:val="228E5D40"/>
    <w:rsid w:val="23270B9A"/>
    <w:rsid w:val="254F50B7"/>
    <w:rsid w:val="256B0B50"/>
    <w:rsid w:val="25866FC6"/>
    <w:rsid w:val="267424BC"/>
    <w:rsid w:val="26D870C8"/>
    <w:rsid w:val="27736C72"/>
    <w:rsid w:val="2849792C"/>
    <w:rsid w:val="2874316E"/>
    <w:rsid w:val="28B562D7"/>
    <w:rsid w:val="2C633D9B"/>
    <w:rsid w:val="2F321786"/>
    <w:rsid w:val="2F9F5077"/>
    <w:rsid w:val="2FC11B6F"/>
    <w:rsid w:val="30BE569A"/>
    <w:rsid w:val="30F11630"/>
    <w:rsid w:val="31DC34AE"/>
    <w:rsid w:val="31E82842"/>
    <w:rsid w:val="331758D7"/>
    <w:rsid w:val="337411B3"/>
    <w:rsid w:val="34792858"/>
    <w:rsid w:val="34F32E3B"/>
    <w:rsid w:val="354A01DF"/>
    <w:rsid w:val="36C31641"/>
    <w:rsid w:val="39BC4DC8"/>
    <w:rsid w:val="39DF07FF"/>
    <w:rsid w:val="3A4D63E5"/>
    <w:rsid w:val="3C310060"/>
    <w:rsid w:val="3C841D58"/>
    <w:rsid w:val="3DE605FC"/>
    <w:rsid w:val="3E705651"/>
    <w:rsid w:val="3FCC2AB9"/>
    <w:rsid w:val="413D6E09"/>
    <w:rsid w:val="44EA0F76"/>
    <w:rsid w:val="45275804"/>
    <w:rsid w:val="453D6CA9"/>
    <w:rsid w:val="481C6950"/>
    <w:rsid w:val="49022B9F"/>
    <w:rsid w:val="49292A55"/>
    <w:rsid w:val="4A0500BA"/>
    <w:rsid w:val="4AC4464F"/>
    <w:rsid w:val="4D75708A"/>
    <w:rsid w:val="4E99766C"/>
    <w:rsid w:val="4F664E94"/>
    <w:rsid w:val="4F6E6AC7"/>
    <w:rsid w:val="50EF5099"/>
    <w:rsid w:val="568A4EE0"/>
    <w:rsid w:val="570E01E7"/>
    <w:rsid w:val="5A876701"/>
    <w:rsid w:val="5DA3668F"/>
    <w:rsid w:val="60C15B7F"/>
    <w:rsid w:val="61956467"/>
    <w:rsid w:val="6251503B"/>
    <w:rsid w:val="648D018C"/>
    <w:rsid w:val="65904230"/>
    <w:rsid w:val="65A705D2"/>
    <w:rsid w:val="6611230B"/>
    <w:rsid w:val="66E63045"/>
    <w:rsid w:val="671C5BE1"/>
    <w:rsid w:val="67B92BD6"/>
    <w:rsid w:val="68BF6C25"/>
    <w:rsid w:val="6E923C2D"/>
    <w:rsid w:val="6F6B4ED7"/>
    <w:rsid w:val="70A337E7"/>
    <w:rsid w:val="711F4B7F"/>
    <w:rsid w:val="71DD0725"/>
    <w:rsid w:val="73D57E67"/>
    <w:rsid w:val="748C0A28"/>
    <w:rsid w:val="75525022"/>
    <w:rsid w:val="75F93C02"/>
    <w:rsid w:val="763E1EEB"/>
    <w:rsid w:val="764E43C3"/>
    <w:rsid w:val="772272EE"/>
    <w:rsid w:val="772F3C24"/>
    <w:rsid w:val="779F229F"/>
    <w:rsid w:val="7C5D4CB2"/>
    <w:rsid w:val="7D1D3B52"/>
    <w:rsid w:val="7EB30A08"/>
    <w:rsid w:val="7F64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sz w:val="22"/>
      <w:szCs w:val="22"/>
      <w:lang w:val="es-ES" w:eastAsia="en-US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paragraph" w:styleId="3">
    <w:name w:val="heading 2"/>
    <w:basedOn w:val="1"/>
    <w:qFormat/>
    <w:uiPriority w:val="0"/>
    <w:pPr>
      <w:spacing w:before="280" w:after="280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es-E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color w:val="0000FF"/>
      <w:u w:val="single"/>
    </w:rPr>
  </w:style>
  <w:style w:type="character" w:styleId="7">
    <w:name w:val="Strong"/>
    <w:qFormat/>
    <w:uiPriority w:val="0"/>
    <w:rPr>
      <w:b/>
      <w:bCs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9">
    <w:name w:val="annotation text"/>
    <w:basedOn w:val="1"/>
    <w:qFormat/>
    <w:uiPriority w:val="0"/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1">
    <w:name w:val="List"/>
    <w:basedOn w:val="12"/>
    <w:qFormat/>
    <w:uiPriority w:val="0"/>
    <w:rPr>
      <w:rFonts w:cs="Noto Sans Devanagari"/>
    </w:rPr>
  </w:style>
  <w:style w:type="paragraph" w:styleId="12">
    <w:name w:val="Body Text"/>
    <w:basedOn w:val="1"/>
    <w:qFormat/>
    <w:uiPriority w:val="0"/>
    <w:pPr>
      <w:spacing w:after="140"/>
    </w:pPr>
  </w:style>
  <w:style w:type="paragraph" w:styleId="13">
    <w:name w:val="Normal (Web)"/>
    <w:basedOn w:val="1"/>
    <w:qFormat/>
    <w:uiPriority w:val="0"/>
    <w:rPr>
      <w:sz w:val="24"/>
      <w:szCs w:val="24"/>
    </w:rPr>
  </w:style>
  <w:style w:type="paragraph" w:styleId="1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customStyle="1" w:styleId="15">
    <w:name w:val="Fuente de párrafo predeter.1"/>
    <w:qFormat/>
    <w:uiPriority w:val="0"/>
  </w:style>
  <w:style w:type="character" w:customStyle="1" w:styleId="16">
    <w:name w:val="Título 2 Car"/>
    <w:qFormat/>
    <w:uiPriority w:val="0"/>
    <w:rPr>
      <w:rFonts w:ascii="Times New Roman" w:hAnsi="Times New Roman" w:eastAsia="Times New Roman" w:cs="Times New Roman"/>
      <w:b/>
      <w:bCs/>
      <w:sz w:val="36"/>
      <w:szCs w:val="36"/>
      <w:lang w:eastAsia="es-ES"/>
    </w:rPr>
  </w:style>
  <w:style w:type="character" w:customStyle="1" w:styleId="17">
    <w:name w:val="ListLabel 1"/>
    <w:qFormat/>
    <w:uiPriority w:val="0"/>
    <w:rPr>
      <w:rFonts w:cs="Courier New"/>
    </w:rPr>
  </w:style>
  <w:style w:type="character" w:customStyle="1" w:styleId="18">
    <w:name w:val="ListLabel 2"/>
    <w:qFormat/>
    <w:uiPriority w:val="0"/>
    <w:rPr>
      <w:rFonts w:cs="Courier New"/>
    </w:rPr>
  </w:style>
  <w:style w:type="character" w:customStyle="1" w:styleId="19">
    <w:name w:val="ListLabel 3"/>
    <w:qFormat/>
    <w:uiPriority w:val="0"/>
    <w:rPr>
      <w:rFonts w:cs="Courier New"/>
    </w:rPr>
  </w:style>
  <w:style w:type="paragraph" w:customStyle="1" w:styleId="20">
    <w:name w:val="Heading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customStyle="1" w:styleId="21">
    <w:name w:val="Index"/>
    <w:basedOn w:val="1"/>
    <w:qFormat/>
    <w:uiPriority w:val="0"/>
    <w:pPr>
      <w:suppressLineNumbers/>
    </w:pPr>
    <w:rPr>
      <w:rFonts w:cs="Noto Sans Devanagari"/>
    </w:rPr>
  </w:style>
  <w:style w:type="paragraph" w:customStyle="1" w:styleId="22">
    <w:name w:val="List Paragraph1"/>
    <w:basedOn w:val="1"/>
    <w:qFormat/>
    <w:uiPriority w:val="0"/>
    <w:pPr>
      <w:ind w:left="720"/>
      <w:contextualSpacing/>
    </w:pPr>
  </w:style>
  <w:style w:type="paragraph" w:styleId="23">
    <w:name w:val="List Paragraph"/>
    <w:basedOn w:val="1"/>
    <w:qFormat/>
    <w:uiPriority w:val="99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639</Words>
  <Characters>3644</Characters>
  <Lines>30</Lines>
  <Paragraphs>8</Paragraphs>
  <TotalTime>35</TotalTime>
  <ScaleCrop>false</ScaleCrop>
  <LinksUpToDate>false</LinksUpToDate>
  <CharactersWithSpaces>4275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2025-07-14T10:47:00Z</dcterms:created>
  <dc:creator>Luis Prieto</dc:creator>
  <cp:lastModifiedBy>WPS_1712163100</cp:lastModifiedBy>
  <dcterms:modified xsi:type="dcterms:W3CDTF">2025-10-27T12:11:04Z</dcterms:modified>
  <dc:title>Covid permanente, nueva enfermedad profesional que puede causar incapacidad temporal o definitiva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KSOProductBuildVer">
    <vt:lpwstr>3082-12.2.0.23131</vt:lpwstr>
  </property>
  <property fmtid="{D5CDD505-2E9C-101B-9397-08002B2CF9AE}" pid="4" name="ICV">
    <vt:lpwstr>D8C75D91CD27487583685B47D85BBE0A_13</vt:lpwstr>
  </property>
</Properties>
</file>